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2835"/>
          </w:tcPr>
          <w:p>
            <w:r>
              <w:drawing>
                <wp:inline xmlns:a="http://schemas.openxmlformats.org/drawingml/2006/main" xmlns:pic="http://schemas.openxmlformats.org/drawingml/2006/picture">
                  <wp:extent cx="1512000" cy="77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ashmicro-logo-transparen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77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803"/>
          </w:tcPr>
          <w:p>
            <w:pPr>
              <w:jc w:val="right"/>
            </w:pPr>
            <w:r>
              <w:rPr>
                <w:b/>
                <w:color w:val="C1202E"/>
                <w:sz w:val="36"/>
              </w:rPr>
              <w:t>Construction &amp; Building RFQ Template</w:t>
            </w:r>
          </w:p>
          <w:p>
            <w:pPr>
              <w:jc w:val="right"/>
            </w:pPr>
            <w:r>
              <w:rPr>
                <w:i/>
                <w:color w:val="505050"/>
                <w:sz w:val="22"/>
              </w:rPr>
              <w:t>Materials, Trades &amp; Project Work</w:t>
            </w:r>
          </w:p>
        </w:tc>
      </w:tr>
    </w:tbl>
    <w:p>
      <w:pPr>
        <w:pBdr>
          <w:bottom w:val="single" w:sz="12" w:space="1" w:color="C1202E"/>
        </w:pBdr>
      </w:pPr>
    </w:p>
    <w:p>
      <w:r>
        <w:rPr>
          <w:sz w:val="21"/>
        </w:rPr>
        <w:t>Use this template for construction and building procurement. It captures site-specific details, insurance evidence, WH&amp;S declarations, and progress payment milestones in addition to the standard pricing fields.</w:t>
      </w:r>
    </w:p>
    <w:p>
      <w:pPr>
        <w:spacing w:before="200"/>
      </w:pPr>
      <w:r>
        <w:rPr>
          <w:b/>
          <w:color w:val="C1202E"/>
          <w:sz w:val="24"/>
        </w:rPr>
        <w:t>1. Buyer &amp; Project Details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Registered business name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ABN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Project name / number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Site address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Project manager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Phone / email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RFQ reference number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Date issued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2. Scope of Works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Work item / material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Spec / standard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Unit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Qty</w:t>
            </w:r>
          </w:p>
        </w:tc>
        <w:tc>
          <w:tcPr>
            <w:tcW w:type="dxa" w:w="17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Site notes</w:t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1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2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3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1700"/>
          </w:tcPr>
          <w:p>
            <w:r/>
            <w:r>
              <w:rPr>
                <w:sz w:val="20"/>
              </w:rPr>
              <w:t>4</w:t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1700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3. Site &amp; Delivery Conditions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Site access hours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Required delivery / start date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Site induction required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Yes / No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Lay-down / storage area available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Yes / No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Quote response deadline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4. Pricing &amp; Progress Payments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Pricing format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Itemised, ex-GST and inc-GST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Labour rates (if applicable)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Hourly + overtime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Progress payment milestones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Mobilisation / 50% / Completion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Retention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5% held until practical completion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Payment terms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30 days from valid tax invoice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5. Compliance &amp; Insurance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Public liability cover (min)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AUD 20,000,000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Workers compensation policy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Required (attach certificate)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WH&amp;S management plan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Required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Licensed trade declaration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Attach licence number(s)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SWMS for high-risk work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Required before commencement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6. Evaluation Criteria (Weighted)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Criterion</w:t>
            </w:r>
          </w:p>
        </w:tc>
        <w:tc>
          <w:tcPr>
            <w:tcW w:type="dxa" w:w="34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Weight (%)</w:t>
            </w:r>
          </w:p>
        </w:tc>
        <w:tc>
          <w:tcPr>
            <w:tcW w:type="dxa" w:w="340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Notes</w:t>
            </w:r>
          </w:p>
        </w:tc>
      </w:tr>
      <w:tr>
        <w:tc>
          <w:tcPr>
            <w:tcW w:type="dxa" w:w="3400"/>
          </w:tcPr>
          <w:p>
            <w:r/>
            <w:r>
              <w:rPr>
                <w:sz w:val="20"/>
              </w:rPr>
              <w:t>Price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  <w:t>40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3400"/>
          </w:tcPr>
          <w:p>
            <w:r/>
            <w:r>
              <w:rPr>
                <w:sz w:val="20"/>
              </w:rPr>
              <w:t>Compliance &amp; licences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  <w:t>20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3400"/>
          </w:tcPr>
          <w:p>
            <w:r/>
            <w:r>
              <w:rPr>
                <w:sz w:val="20"/>
              </w:rPr>
              <w:t>Programme / lead time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  <w:t>20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3400"/>
          </w:tcPr>
          <w:p>
            <w:r/>
            <w:r>
              <w:rPr>
                <w:sz w:val="20"/>
              </w:rPr>
              <w:t>Past project references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  <w:t>20</w:t>
            </w:r>
          </w:p>
        </w:tc>
        <w:tc>
          <w:tcPr>
            <w:tcW w:type="dxa" w:w="3400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7. Supplier Declaration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Supplier name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Supplier ABN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Licence number(s)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Authorised signatory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Date / signature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pBdr>
          <w:bottom w:val="single" w:sz="12" w:space="1" w:color="C1202E"/>
        </w:pBdr>
      </w:pPr>
    </w:p>
    <w:p>
      <w:pPr>
        <w:jc w:val="center"/>
      </w:pPr>
      <w:r>
        <w:rPr>
          <w:color w:val="787878"/>
          <w:sz w:val="18"/>
        </w:rPr>
        <w:t>Prepared with HashMicro  |  www.hashmicro.com  |  Australia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