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835"/>
        <w:gridCol w:w="6803"/>
      </w:tblGrid>
      <w:tr>
        <w:tc>
          <w:tcPr>
            <w:tcW w:type="dxa" w:w="2835"/>
          </w:tcPr>
          <w:p>
            <w:r>
              <w:drawing>
                <wp:inline xmlns:a="http://schemas.openxmlformats.org/drawingml/2006/main" xmlns:pic="http://schemas.openxmlformats.org/drawingml/2006/picture">
                  <wp:extent cx="1512000" cy="77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ashmicro-logo-transparent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000" cy="77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803"/>
          </w:tcPr>
          <w:p>
            <w:pPr>
              <w:jc w:val="right"/>
            </w:pPr>
            <w:r>
              <w:rPr>
                <w:b/>
                <w:color w:val="C1202E"/>
                <w:sz w:val="36"/>
              </w:rPr>
              <w:t>IT &amp; Software RFQ Template</w:t>
            </w:r>
          </w:p>
          <w:p>
            <w:pPr>
              <w:jc w:val="right"/>
            </w:pPr>
            <w:r>
              <w:rPr>
                <w:i/>
                <w:color w:val="505050"/>
                <w:sz w:val="22"/>
              </w:rPr>
              <w:t>Hardware, SaaS &amp; Implementation Services</w:t>
            </w:r>
          </w:p>
        </w:tc>
      </w:tr>
    </w:tbl>
    <w:p>
      <w:pPr>
        <w:pBdr>
          <w:bottom w:val="single" w:sz="12" w:space="1" w:color="C1202E"/>
        </w:pBdr>
      </w:pPr>
    </w:p>
    <w:p>
      <w:r>
        <w:rPr>
          <w:sz w:val="21"/>
        </w:rPr>
        <w:t>Use this template for IT hardware, SaaS subscriptions, and software implementation projects. It captures licensing, hosting, security, integration, and ongoing support requirements that often get missed in generic RFQ documents.</w:t>
      </w:r>
    </w:p>
    <w:p>
      <w:pPr>
        <w:spacing w:before="200"/>
      </w:pPr>
      <w:r>
        <w:rPr>
          <w:b/>
          <w:color w:val="C1202E"/>
          <w:sz w:val="24"/>
        </w:rPr>
        <w:t>1. Buyer Details</w:t>
      </w:r>
    </w:p>
    <w:tbl>
      <w:tblPr>
        <w:tblStyle w:val="LightGrid-Accent2"/>
        <w:tblW w:type="auto" w:w="0"/>
        <w:tblLayout w:type="fixed"/>
        <w:tblLook w:firstColumn="1" w:firstRow="1" w:lastColumn="0" w:lastRow="0" w:noHBand="0" w:noVBand="1" w:val="04A0"/>
      </w:tblPr>
      <w:tblGrid>
        <w:gridCol w:w="3685"/>
        <w:gridCol w:w="5953"/>
      </w:tblGrid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Registered business name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ABN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Project / system name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IT procurement contact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Phone / email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RFQ reference number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Date issued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</w:tbl>
    <w:p>
      <w:pPr>
        <w:spacing w:before="200"/>
      </w:pPr>
      <w:r>
        <w:rPr>
          <w:b/>
          <w:color w:val="C1202E"/>
          <w:sz w:val="24"/>
        </w:rPr>
        <w:t>2. Solution Requirements</w:t>
      </w:r>
    </w:p>
    <w:tbl>
      <w:tblPr>
        <w:tblStyle w:val="LightGrid-Accent2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No.</w:t>
            </w:r>
          </w:p>
        </w:tc>
        <w:tc>
          <w:tcPr>
            <w:tcW w:type="dxa" w:w="255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Requirement</w:t>
            </w:r>
          </w:p>
        </w:tc>
        <w:tc>
          <w:tcPr>
            <w:tcW w:type="dxa" w:w="255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Mandatory / Desirable</w:t>
            </w:r>
          </w:p>
        </w:tc>
        <w:tc>
          <w:tcPr>
            <w:tcW w:type="dxa" w:w="255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Notes</w:t>
            </w:r>
          </w:p>
        </w:tc>
      </w:tr>
      <w:tr>
        <w:tc>
          <w:tcPr>
            <w:tcW w:type="dxa" w:w="2550"/>
          </w:tcPr>
          <w:p>
            <w:r/>
            <w:r>
              <w:rPr>
                <w:sz w:val="20"/>
              </w:rPr>
              <w:t>1</w:t>
            </w:r>
          </w:p>
        </w:tc>
        <w:tc>
          <w:tcPr>
            <w:tcW w:type="dxa" w:w="2550"/>
          </w:tcPr>
          <w:p>
            <w:r/>
            <w:r>
              <w:rPr>
                <w:sz w:val="20"/>
              </w:rPr>
              <w:t>Cloud or on-premise option</w:t>
            </w:r>
          </w:p>
        </w:tc>
        <w:tc>
          <w:tcPr>
            <w:tcW w:type="dxa" w:w="2550"/>
          </w:tcPr>
          <w:p>
            <w:r/>
            <w:r>
              <w:rPr>
                <w:sz w:val="20"/>
              </w:rPr>
              <w:t>M</w:t>
            </w:r>
          </w:p>
        </w:tc>
        <w:tc>
          <w:tcPr>
            <w:tcW w:type="dxa" w:w="255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550"/>
          </w:tcPr>
          <w:p>
            <w:r/>
            <w:r>
              <w:rPr>
                <w:sz w:val="20"/>
              </w:rPr>
              <w:t>2</w:t>
            </w:r>
          </w:p>
        </w:tc>
        <w:tc>
          <w:tcPr>
            <w:tcW w:type="dxa" w:w="2550"/>
          </w:tcPr>
          <w:p>
            <w:r/>
            <w:r>
              <w:rPr>
                <w:sz w:val="20"/>
              </w:rPr>
              <w:t>Australian data residency</w:t>
            </w:r>
          </w:p>
        </w:tc>
        <w:tc>
          <w:tcPr>
            <w:tcW w:type="dxa" w:w="2550"/>
          </w:tcPr>
          <w:p>
            <w:r/>
            <w:r>
              <w:rPr>
                <w:sz w:val="20"/>
              </w:rPr>
              <w:t>M</w:t>
            </w:r>
          </w:p>
        </w:tc>
        <w:tc>
          <w:tcPr>
            <w:tcW w:type="dxa" w:w="255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550"/>
          </w:tcPr>
          <w:p>
            <w:r/>
            <w:r>
              <w:rPr>
                <w:sz w:val="20"/>
              </w:rPr>
              <w:t>3</w:t>
            </w:r>
          </w:p>
        </w:tc>
        <w:tc>
          <w:tcPr>
            <w:tcW w:type="dxa" w:w="2550"/>
          </w:tcPr>
          <w:p>
            <w:r/>
            <w:r>
              <w:rPr>
                <w:sz w:val="20"/>
              </w:rPr>
              <w:t>Integration with existing stack</w:t>
            </w:r>
          </w:p>
        </w:tc>
        <w:tc>
          <w:tcPr>
            <w:tcW w:type="dxa" w:w="2550"/>
          </w:tcPr>
          <w:p>
            <w:r/>
            <w:r>
              <w:rPr>
                <w:sz w:val="20"/>
              </w:rPr>
              <w:t>M</w:t>
            </w:r>
          </w:p>
        </w:tc>
        <w:tc>
          <w:tcPr>
            <w:tcW w:type="dxa" w:w="2550"/>
          </w:tcPr>
          <w:p>
            <w:r/>
            <w:r>
              <w:rPr>
                <w:sz w:val="20"/>
              </w:rPr>
              <w:t>List APIs</w:t>
            </w:r>
          </w:p>
        </w:tc>
      </w:tr>
      <w:tr>
        <w:tc>
          <w:tcPr>
            <w:tcW w:type="dxa" w:w="2550"/>
          </w:tcPr>
          <w:p>
            <w:r/>
            <w:r>
              <w:rPr>
                <w:sz w:val="20"/>
              </w:rPr>
              <w:t>4</w:t>
            </w:r>
          </w:p>
        </w:tc>
        <w:tc>
          <w:tcPr>
            <w:tcW w:type="dxa" w:w="2550"/>
          </w:tcPr>
          <w:p>
            <w:r/>
            <w:r>
              <w:rPr>
                <w:sz w:val="20"/>
              </w:rPr>
              <w:t>Mobile app access</w:t>
            </w:r>
          </w:p>
        </w:tc>
        <w:tc>
          <w:tcPr>
            <w:tcW w:type="dxa" w:w="2550"/>
          </w:tcPr>
          <w:p>
            <w:r/>
            <w:r>
              <w:rPr>
                <w:sz w:val="20"/>
              </w:rPr>
              <w:t>D</w:t>
            </w:r>
          </w:p>
        </w:tc>
        <w:tc>
          <w:tcPr>
            <w:tcW w:type="dxa" w:w="255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550"/>
          </w:tcPr>
          <w:p>
            <w:r/>
            <w:r>
              <w:rPr>
                <w:sz w:val="20"/>
              </w:rPr>
              <w:t>5</w:t>
            </w:r>
          </w:p>
        </w:tc>
        <w:tc>
          <w:tcPr>
            <w:tcW w:type="dxa" w:w="2550"/>
          </w:tcPr>
          <w:p>
            <w:r/>
            <w:r>
              <w:rPr>
                <w:sz w:val="20"/>
              </w:rPr>
              <w:t>Custom workflow capability</w:t>
            </w:r>
          </w:p>
        </w:tc>
        <w:tc>
          <w:tcPr>
            <w:tcW w:type="dxa" w:w="2550"/>
          </w:tcPr>
          <w:p>
            <w:r/>
            <w:r>
              <w:rPr>
                <w:sz w:val="20"/>
              </w:rPr>
              <w:t>D</w:t>
            </w:r>
          </w:p>
        </w:tc>
        <w:tc>
          <w:tcPr>
            <w:tcW w:type="dxa" w:w="2550"/>
          </w:tcPr>
          <w:p>
            <w:r/>
            <w:r>
              <w:rPr>
                <w:sz w:val="20"/>
              </w:rPr>
            </w:r>
          </w:p>
        </w:tc>
      </w:tr>
    </w:tbl>
    <w:p>
      <w:pPr>
        <w:spacing w:before="200"/>
      </w:pPr>
      <w:r>
        <w:rPr>
          <w:b/>
          <w:color w:val="C1202E"/>
          <w:sz w:val="24"/>
        </w:rPr>
        <w:t>3. Licensing &amp; Users</w:t>
      </w:r>
    </w:p>
    <w:tbl>
      <w:tblPr>
        <w:tblStyle w:val="LightGrid-Accent2"/>
        <w:tblW w:type="auto" w:w="0"/>
        <w:tblLayout w:type="fixed"/>
        <w:tblLook w:firstColumn="1" w:firstRow="1" w:lastColumn="0" w:lastRow="0" w:noHBand="0" w:noVBand="1" w:val="04A0"/>
      </w:tblPr>
      <w:tblGrid>
        <w:gridCol w:w="3685"/>
        <w:gridCol w:w="5953"/>
      </w:tblGrid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Licensing model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>Per user / per module / unlimited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Initial user count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Forecast user growth (24 months)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Roles required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>Admin / standard / read-only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Subscription term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>Monthly / annual</w:t>
            </w:r>
          </w:p>
        </w:tc>
      </w:tr>
    </w:tbl>
    <w:p>
      <w:pPr>
        <w:spacing w:before="200"/>
      </w:pPr>
      <w:r>
        <w:rPr>
          <w:b/>
          <w:color w:val="C1202E"/>
          <w:sz w:val="24"/>
        </w:rPr>
        <w:t>4. Security, Hosting &amp; Compliance</w:t>
      </w:r>
    </w:p>
    <w:tbl>
      <w:tblPr>
        <w:tblStyle w:val="LightGrid-Accent2"/>
        <w:tblW w:type="auto" w:w="0"/>
        <w:tblLayout w:type="fixed"/>
        <w:tblLook w:firstColumn="1" w:firstRow="1" w:lastColumn="0" w:lastRow="0" w:noHBand="0" w:noVBand="1" w:val="04A0"/>
      </w:tblPr>
      <w:tblGrid>
        <w:gridCol w:w="3685"/>
        <w:gridCol w:w="5953"/>
      </w:tblGrid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Hosting location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>Australian region required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Encryption (in transit / at rest)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>Required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Certifications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>ISO 27001 / SOC 2 / IRAP (if applicable)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Backup &amp; disaster recovery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>RPO / RTO commitments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Data export on contract end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>Format &amp; timeframe</w:t>
            </w:r>
          </w:p>
        </w:tc>
      </w:tr>
    </w:tbl>
    <w:p>
      <w:pPr>
        <w:spacing w:before="200"/>
      </w:pPr>
      <w:r>
        <w:rPr>
          <w:b/>
          <w:color w:val="C1202E"/>
          <w:sz w:val="24"/>
        </w:rPr>
        <w:t>5. Pricing &amp; Support</w:t>
      </w:r>
    </w:p>
    <w:tbl>
      <w:tblPr>
        <w:tblStyle w:val="LightGrid-Accent2"/>
        <w:tblW w:type="auto" w:w="0"/>
        <w:tblLayout w:type="fixed"/>
        <w:tblLook w:firstColumn="1" w:firstRow="1" w:lastColumn="0" w:lastRow="0" w:noHBand="0" w:noVBand="1" w:val="04A0"/>
      </w:tblPr>
      <w:tblGrid>
        <w:gridCol w:w="3685"/>
        <w:gridCol w:w="5953"/>
      </w:tblGrid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Pricing format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>Ex-GST and inc-GST, AUD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Implementation fee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>Fixed or T&amp;M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Annual support / maintenance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>Tier and inclusions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Uptime SLA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>% per month with credits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Support hours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>AEST / AEDT coverage required</w:t>
            </w:r>
          </w:p>
        </w:tc>
      </w:tr>
    </w:tbl>
    <w:p>
      <w:pPr>
        <w:spacing w:before="200"/>
      </w:pPr>
      <w:r>
        <w:rPr>
          <w:b/>
          <w:color w:val="C1202E"/>
          <w:sz w:val="24"/>
        </w:rPr>
        <w:t>6. Evaluation Criteria (Weighted)</w:t>
      </w:r>
    </w:p>
    <w:tbl>
      <w:tblPr>
        <w:tblStyle w:val="LightGrid-Accent2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Criterion</w:t>
            </w:r>
          </w:p>
        </w:tc>
        <w:tc>
          <w:tcPr>
            <w:tcW w:type="dxa" w:w="340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Weight (%)</w:t>
            </w:r>
          </w:p>
        </w:tc>
        <w:tc>
          <w:tcPr>
            <w:tcW w:type="dxa" w:w="340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Notes</w:t>
            </w:r>
          </w:p>
        </w:tc>
      </w:tr>
      <w:tr>
        <w:tc>
          <w:tcPr>
            <w:tcW w:type="dxa" w:w="3400"/>
          </w:tcPr>
          <w:p>
            <w:r/>
            <w:r>
              <w:rPr>
                <w:sz w:val="20"/>
              </w:rPr>
              <w:t>Functional fit</w:t>
            </w:r>
          </w:p>
        </w:tc>
        <w:tc>
          <w:tcPr>
            <w:tcW w:type="dxa" w:w="3400"/>
          </w:tcPr>
          <w:p>
            <w:r/>
            <w:r>
              <w:rPr>
                <w:sz w:val="20"/>
              </w:rPr>
              <w:t>35</w:t>
            </w:r>
          </w:p>
        </w:tc>
        <w:tc>
          <w:tcPr>
            <w:tcW w:type="dxa" w:w="340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3400"/>
          </w:tcPr>
          <w:p>
            <w:r/>
            <w:r>
              <w:rPr>
                <w:sz w:val="20"/>
              </w:rPr>
              <w:t>Total 5-year cost</w:t>
            </w:r>
          </w:p>
        </w:tc>
        <w:tc>
          <w:tcPr>
            <w:tcW w:type="dxa" w:w="3400"/>
          </w:tcPr>
          <w:p>
            <w:r/>
            <w:r>
              <w:rPr>
                <w:sz w:val="20"/>
              </w:rPr>
              <w:t>25</w:t>
            </w:r>
          </w:p>
        </w:tc>
        <w:tc>
          <w:tcPr>
            <w:tcW w:type="dxa" w:w="340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3400"/>
          </w:tcPr>
          <w:p>
            <w:r/>
            <w:r>
              <w:rPr>
                <w:sz w:val="20"/>
              </w:rPr>
              <w:t>Security &amp; compliance</w:t>
            </w:r>
          </w:p>
        </w:tc>
        <w:tc>
          <w:tcPr>
            <w:tcW w:type="dxa" w:w="3400"/>
          </w:tcPr>
          <w:p>
            <w:r/>
            <w:r>
              <w:rPr>
                <w:sz w:val="20"/>
              </w:rPr>
              <w:t>20</w:t>
            </w:r>
          </w:p>
        </w:tc>
        <w:tc>
          <w:tcPr>
            <w:tcW w:type="dxa" w:w="340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3400"/>
          </w:tcPr>
          <w:p>
            <w:r/>
            <w:r>
              <w:rPr>
                <w:sz w:val="20"/>
              </w:rPr>
              <w:t>Implementation approach</w:t>
            </w:r>
          </w:p>
        </w:tc>
        <w:tc>
          <w:tcPr>
            <w:tcW w:type="dxa" w:w="3400"/>
          </w:tcPr>
          <w:p>
            <w:r/>
            <w:r>
              <w:rPr>
                <w:sz w:val="20"/>
              </w:rPr>
              <w:t>10</w:t>
            </w:r>
          </w:p>
        </w:tc>
        <w:tc>
          <w:tcPr>
            <w:tcW w:type="dxa" w:w="340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3400"/>
          </w:tcPr>
          <w:p>
            <w:r/>
            <w:r>
              <w:rPr>
                <w:sz w:val="20"/>
              </w:rPr>
              <w:t>Vendor stability &amp; references</w:t>
            </w:r>
          </w:p>
        </w:tc>
        <w:tc>
          <w:tcPr>
            <w:tcW w:type="dxa" w:w="3400"/>
          </w:tcPr>
          <w:p>
            <w:r/>
            <w:r>
              <w:rPr>
                <w:sz w:val="20"/>
              </w:rPr>
              <w:t>10</w:t>
            </w:r>
          </w:p>
        </w:tc>
        <w:tc>
          <w:tcPr>
            <w:tcW w:type="dxa" w:w="3400"/>
          </w:tcPr>
          <w:p>
            <w:r/>
            <w:r>
              <w:rPr>
                <w:sz w:val="20"/>
              </w:rPr>
            </w:r>
          </w:p>
        </w:tc>
      </w:tr>
    </w:tbl>
    <w:p>
      <w:pPr>
        <w:spacing w:before="200"/>
      </w:pPr>
      <w:r>
        <w:rPr>
          <w:b/>
          <w:color w:val="C1202E"/>
          <w:sz w:val="24"/>
        </w:rPr>
        <w:t>7. Supplier Acknowledgement</w:t>
      </w:r>
    </w:p>
    <w:tbl>
      <w:tblPr>
        <w:tblStyle w:val="LightGrid-Accent2"/>
        <w:tblW w:type="auto" w:w="0"/>
        <w:tblLayout w:type="fixed"/>
        <w:tblLook w:firstColumn="1" w:firstRow="1" w:lastColumn="0" w:lastRow="0" w:noHBand="0" w:noVBand="1" w:val="04A0"/>
      </w:tblPr>
      <w:tblGrid>
        <w:gridCol w:w="3685"/>
        <w:gridCol w:w="5953"/>
      </w:tblGrid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Supplier name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Supplier ABN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Authorised signatory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Date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Signature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</w:tbl>
    <w:p>
      <w:pPr>
        <w:pBdr>
          <w:bottom w:val="single" w:sz="12" w:space="1" w:color="C1202E"/>
        </w:pBdr>
      </w:pPr>
    </w:p>
    <w:p>
      <w:pPr>
        <w:jc w:val="center"/>
      </w:pPr>
      <w:r>
        <w:rPr>
          <w:color w:val="787878"/>
          <w:sz w:val="18"/>
        </w:rPr>
        <w:t>Prepared with HashMicro  |  www.hashmicro.com  |  Australia</w:t>
      </w:r>
    </w:p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