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12000" cy="77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shmicro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7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3"/>
          </w:tcPr>
          <w:p>
            <w:pPr>
              <w:jc w:val="right"/>
            </w:pPr>
            <w:r>
              <w:rPr>
                <w:b/>
                <w:color w:val="C1202E"/>
                <w:sz w:val="36"/>
              </w:rPr>
              <w:t>Residential Punch List Template</w:t>
            </w:r>
          </w:p>
          <w:p>
            <w:pPr>
              <w:jc w:val="right"/>
            </w:pPr>
            <w:r>
              <w:rPr>
                <w:i/>
                <w:color w:val="505050"/>
                <w:sz w:val="22"/>
              </w:rPr>
              <w:t>New Homes, Renovations &amp; Extensions</w:t>
            </w:r>
          </w:p>
        </w:tc>
      </w:tr>
    </w:tbl>
    <w:p>
      <w:pPr>
        <w:pBdr>
          <w:bottom w:val="single" w:sz="12" w:space="1" w:color="C1202E"/>
        </w:pBdr>
      </w:pPr>
    </w:p>
    <w:p>
      <w:r>
        <w:rPr>
          <w:sz w:val="21"/>
        </w:rPr>
        <w:t>Use this template for residential construction projects, including new builds, renovations, and extensions. Walk the home room by room and capture finishes, fixtures, fittings, and external works in one place.</w:t>
      </w:r>
    </w:p>
    <w:p>
      <w:pPr>
        <w:spacing w:before="200"/>
      </w:pPr>
      <w:r>
        <w:rPr>
          <w:b/>
          <w:color w:val="C1202E"/>
          <w:sz w:val="24"/>
        </w:rPr>
        <w:t>1. Project Details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Owner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Builder / contractor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Property address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Contract number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Walkthrough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Owner contact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2. Internal Punch List Items (Room-by-Room)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Room / area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Issue description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Entry / Hallway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Kitchen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Living / Dining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Bedroom 1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5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Bathroom 1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6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Laundry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3. External &amp; Site Punch List Items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Issue description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Driveway / Path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Landscaping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Fencing / Gates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External paint / cladding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4. Owner Walkthrough Notes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Items raised by owner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Outstanding warranty items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Owner satisfaction comments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5. Sign-Off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Builder representative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Owner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Practical completion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pBdr>
          <w:bottom w:val="single" w:sz="12" w:space="1" w:color="C1202E"/>
        </w:pBdr>
      </w:pPr>
    </w:p>
    <w:p>
      <w:pPr>
        <w:jc w:val="center"/>
      </w:pPr>
      <w:r>
        <w:rPr>
          <w:color w:val="787878"/>
          <w:sz w:val="18"/>
        </w:rPr>
        <w:t>Prepared with HashMicro  |  www.hashmicro.com  |  Australia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