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8124712</wp:posOffset>
            </wp:positionH>
            <wp:positionV relativeFrom="paragraph">
              <wp:posOffset>89198</wp:posOffset>
            </wp:positionV>
            <wp:extent cx="1651253" cy="304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25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12114"/>
        </w:rPr>
        <w:t>Monthly</w:t>
      </w:r>
      <w:r>
        <w:rPr>
          <w:color w:val="C12114"/>
          <w:spacing w:val="-6"/>
        </w:rPr>
        <w:t> </w:t>
      </w:r>
      <w:r>
        <w:rPr>
          <w:color w:val="C12114"/>
        </w:rPr>
        <w:t>Sales</w:t>
      </w:r>
      <w:r>
        <w:rPr>
          <w:color w:val="C12114"/>
          <w:spacing w:val="-6"/>
        </w:rPr>
        <w:t> </w:t>
      </w:r>
      <w:r>
        <w:rPr>
          <w:color w:val="C12114"/>
          <w:spacing w:val="-2"/>
        </w:rPr>
        <w:t>Report</w:t>
      </w:r>
    </w:p>
    <w:p>
      <w:pPr>
        <w:pStyle w:val="BodyText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266587</wp:posOffset>
                </wp:positionH>
                <wp:positionV relativeFrom="paragraph">
                  <wp:posOffset>183548</wp:posOffset>
                </wp:positionV>
                <wp:extent cx="9544050" cy="571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440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4050" h="57150">
                              <a:moveTo>
                                <a:pt x="9544050" y="57150"/>
                              </a:move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  <a:lnTo>
                                <a:pt x="9544050" y="0"/>
                              </a:lnTo>
                              <a:lnTo>
                                <a:pt x="9544050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1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.991177pt;margin-top:14.452634pt;width:751.5pt;height:4.5pt;mso-position-horizontal-relative:page;mso-position-vertical-relative:paragraph;z-index:-15728640;mso-wrap-distance-left:0;mso-wrap-distance-right:0" id="docshape1" filled="true" fillcolor="#c12114" stroked="false">
                <v:fill type="solid"/>
                <w10:wrap type="topAndBottom"/>
              </v:rect>
            </w:pict>
          </mc:Fallback>
        </mc:AlternateContent>
      </w:r>
      <w:r>
        <w:rPr>
          <w:color w:val="808080"/>
        </w:rPr>
        <w:t>Month:</w:t>
      </w:r>
      <w:r>
        <w:rPr>
          <w:color w:val="808080"/>
          <w:spacing w:val="1"/>
        </w:rPr>
        <w:t> </w:t>
      </w:r>
      <w:r>
        <w:rPr>
          <w:color w:val="808080"/>
        </w:rPr>
        <w:t>[Enter</w:t>
      </w:r>
      <w:r>
        <w:rPr>
          <w:color w:val="808080"/>
          <w:spacing w:val="2"/>
        </w:rPr>
        <w:t> </w:t>
      </w:r>
      <w:r>
        <w:rPr>
          <w:color w:val="808080"/>
        </w:rPr>
        <w:t>Month/Year]</w:t>
      </w:r>
      <w:r>
        <w:rPr>
          <w:color w:val="808080"/>
          <w:spacing w:val="51"/>
        </w:rPr>
        <w:t> </w:t>
      </w:r>
      <w:r>
        <w:rPr>
          <w:color w:val="808080"/>
        </w:rPr>
        <w:t>•</w:t>
      </w:r>
      <w:r>
        <w:rPr>
          <w:color w:val="808080"/>
          <w:spacing w:val="52"/>
        </w:rPr>
        <w:t> </w:t>
      </w:r>
      <w:r>
        <w:rPr>
          <w:color w:val="808080"/>
        </w:rPr>
        <w:t>Prepared</w:t>
      </w:r>
      <w:r>
        <w:rPr>
          <w:color w:val="808080"/>
          <w:spacing w:val="1"/>
        </w:rPr>
        <w:t> </w:t>
      </w:r>
      <w:r>
        <w:rPr>
          <w:color w:val="808080"/>
        </w:rPr>
        <w:t>by:</w:t>
      </w:r>
      <w:r>
        <w:rPr>
          <w:color w:val="808080"/>
          <w:spacing w:val="2"/>
        </w:rPr>
        <w:t> </w:t>
      </w:r>
      <w:r>
        <w:rPr>
          <w:color w:val="808080"/>
          <w:spacing w:val="-2"/>
        </w:rPr>
        <w:t>[Name]</w:t>
      </w:r>
    </w:p>
    <w:p>
      <w:pPr>
        <w:spacing w:line="240" w:lineRule="auto" w:before="25" w:after="1"/>
        <w:rPr>
          <w:sz w:val="20"/>
        </w:rPr>
      </w:pPr>
    </w:p>
    <w:tbl>
      <w:tblPr>
        <w:tblW w:w="0" w:type="auto"/>
        <w:jc w:val="left"/>
        <w:tblInd w:w="74" w:type="dxa"/>
        <w:tblBorders>
          <w:top w:val="single" w:sz="12" w:space="0" w:color="C12114"/>
          <w:left w:val="single" w:sz="12" w:space="0" w:color="C12114"/>
          <w:bottom w:val="single" w:sz="12" w:space="0" w:color="C12114"/>
          <w:right w:val="single" w:sz="12" w:space="0" w:color="C12114"/>
          <w:insideH w:val="single" w:sz="12" w:space="0" w:color="C12114"/>
          <w:insideV w:val="single" w:sz="12" w:space="0" w:color="C1211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3360"/>
        <w:gridCol w:w="2940"/>
        <w:gridCol w:w="3675"/>
      </w:tblGrid>
      <w:tr>
        <w:trPr>
          <w:trHeight w:val="270" w:hRule="atLeast"/>
        </w:trPr>
        <w:tc>
          <w:tcPr>
            <w:tcW w:w="3255" w:type="dxa"/>
          </w:tcPr>
          <w:p>
            <w:pPr>
              <w:pStyle w:val="TableParagraph"/>
              <w:spacing w:line="227" w:lineRule="exact" w:before="23"/>
              <w:ind w:left="1050"/>
              <w:rPr>
                <w:b/>
                <w:sz w:val="19"/>
              </w:rPr>
            </w:pPr>
            <w:r>
              <w:rPr>
                <w:b/>
                <w:color w:val="C12114"/>
                <w:spacing w:val="-2"/>
                <w:sz w:val="19"/>
              </w:rPr>
              <w:t>Total Revenue</w:t>
            </w:r>
          </w:p>
        </w:tc>
        <w:tc>
          <w:tcPr>
            <w:tcW w:w="3360" w:type="dxa"/>
          </w:tcPr>
          <w:p>
            <w:pPr>
              <w:pStyle w:val="TableParagraph"/>
              <w:spacing w:line="227" w:lineRule="exact" w:before="23"/>
              <w:ind w:left="1020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Total</w:t>
            </w:r>
            <w:r>
              <w:rPr>
                <w:b/>
                <w:color w:val="C12114"/>
                <w:spacing w:val="-4"/>
                <w:sz w:val="19"/>
              </w:rPr>
              <w:t> </w:t>
            </w:r>
            <w:r>
              <w:rPr>
                <w:b/>
                <w:color w:val="C12114"/>
                <w:sz w:val="19"/>
              </w:rPr>
              <w:t>Deals</w:t>
            </w:r>
            <w:r>
              <w:rPr>
                <w:b/>
                <w:color w:val="C12114"/>
                <w:spacing w:val="-4"/>
                <w:sz w:val="19"/>
              </w:rPr>
              <w:t> </w:t>
            </w:r>
            <w:r>
              <w:rPr>
                <w:b/>
                <w:color w:val="C12114"/>
                <w:spacing w:val="-5"/>
                <w:sz w:val="19"/>
              </w:rPr>
              <w:t>Won</w:t>
            </w:r>
          </w:p>
        </w:tc>
        <w:tc>
          <w:tcPr>
            <w:tcW w:w="2940" w:type="dxa"/>
          </w:tcPr>
          <w:p>
            <w:pPr>
              <w:pStyle w:val="TableParagraph"/>
              <w:spacing w:line="227" w:lineRule="exact" w:before="23"/>
              <w:ind w:left="930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Avg</w:t>
            </w:r>
            <w:r>
              <w:rPr>
                <w:b/>
                <w:color w:val="C12114"/>
                <w:spacing w:val="2"/>
                <w:sz w:val="19"/>
              </w:rPr>
              <w:t> </w:t>
            </w:r>
            <w:r>
              <w:rPr>
                <w:b/>
                <w:color w:val="C12114"/>
                <w:sz w:val="19"/>
              </w:rPr>
              <w:t>Deal</w:t>
            </w:r>
            <w:r>
              <w:rPr>
                <w:b/>
                <w:color w:val="C12114"/>
                <w:spacing w:val="2"/>
                <w:sz w:val="19"/>
              </w:rPr>
              <w:t> </w:t>
            </w:r>
            <w:r>
              <w:rPr>
                <w:b/>
                <w:color w:val="C12114"/>
                <w:spacing w:val="-4"/>
                <w:sz w:val="19"/>
              </w:rPr>
              <w:t>Size</w:t>
            </w:r>
          </w:p>
        </w:tc>
        <w:tc>
          <w:tcPr>
            <w:tcW w:w="3675" w:type="dxa"/>
          </w:tcPr>
          <w:p>
            <w:pPr>
              <w:pStyle w:val="TableParagraph"/>
              <w:spacing w:line="227" w:lineRule="exact" w:before="23"/>
              <w:ind w:left="1065"/>
              <w:rPr>
                <w:b/>
                <w:sz w:val="19"/>
              </w:rPr>
            </w:pPr>
            <w:r>
              <w:rPr>
                <w:b/>
                <w:color w:val="C12114"/>
                <w:sz w:val="19"/>
              </w:rPr>
              <w:t>Overall</w:t>
            </w:r>
            <w:r>
              <w:rPr>
                <w:b/>
                <w:color w:val="C12114"/>
                <w:spacing w:val="1"/>
                <w:sz w:val="19"/>
              </w:rPr>
              <w:t> </w:t>
            </w:r>
            <w:r>
              <w:rPr>
                <w:b/>
                <w:color w:val="C12114"/>
                <w:spacing w:val="-2"/>
                <w:sz w:val="19"/>
              </w:rPr>
              <w:t>Conversion</w:t>
            </w:r>
          </w:p>
        </w:tc>
      </w:tr>
      <w:tr>
        <w:trPr>
          <w:trHeight w:val="270" w:hRule="atLeast"/>
        </w:trPr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33" w:after="0"/>
        <w:rPr>
          <w:sz w:val="20"/>
        </w:rPr>
      </w:pPr>
    </w:p>
    <w:tbl>
      <w:tblPr>
        <w:tblW w:w="0" w:type="auto"/>
        <w:jc w:val="left"/>
        <w:tblInd w:w="7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1785"/>
        <w:gridCol w:w="1680"/>
        <w:gridCol w:w="1680"/>
        <w:gridCol w:w="1470"/>
        <w:gridCol w:w="1470"/>
        <w:gridCol w:w="1890"/>
        <w:gridCol w:w="1785"/>
        <w:gridCol w:w="1785"/>
      </w:tblGrid>
      <w:tr>
        <w:trPr>
          <w:trHeight w:val="540" w:hRule="atLeast"/>
        </w:trPr>
        <w:tc>
          <w:tcPr>
            <w:tcW w:w="1470" w:type="dxa"/>
            <w:shd w:val="clear" w:color="auto" w:fill="C12114"/>
          </w:tcPr>
          <w:p>
            <w:pPr>
              <w:pStyle w:val="TableParagraph"/>
              <w:spacing w:before="143"/>
              <w:ind w:left="37" w:right="3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Week</w:t>
            </w:r>
          </w:p>
        </w:tc>
        <w:tc>
          <w:tcPr>
            <w:tcW w:w="1785" w:type="dxa"/>
            <w:shd w:val="clear" w:color="auto" w:fill="C12114"/>
          </w:tcPr>
          <w:p>
            <w:pPr>
              <w:pStyle w:val="TableParagraph"/>
              <w:spacing w:before="143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Leads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2"/>
                <w:sz w:val="21"/>
              </w:rPr>
              <w:t>Generated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left="11" w:righ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Meetings</w:t>
            </w:r>
            <w:r>
              <w:rPr>
                <w:b/>
                <w:color w:val="FFFFFF"/>
                <w:spacing w:val="8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Held</w:t>
            </w:r>
          </w:p>
        </w:tc>
        <w:tc>
          <w:tcPr>
            <w:tcW w:w="1680" w:type="dxa"/>
            <w:shd w:val="clear" w:color="auto" w:fill="C12114"/>
          </w:tcPr>
          <w:p>
            <w:pPr>
              <w:pStyle w:val="TableParagraph"/>
              <w:spacing w:before="143"/>
              <w:ind w:righ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Proposals</w:t>
            </w:r>
            <w:r>
              <w:rPr>
                <w:b/>
                <w:color w:val="FFFFFF"/>
                <w:spacing w:val="6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Sent</w:t>
            </w:r>
          </w:p>
        </w:tc>
        <w:tc>
          <w:tcPr>
            <w:tcW w:w="1470" w:type="dxa"/>
            <w:shd w:val="clear" w:color="auto" w:fill="C12114"/>
          </w:tcPr>
          <w:p>
            <w:pPr>
              <w:pStyle w:val="TableParagraph"/>
              <w:spacing w:before="143"/>
              <w:ind w:left="37" w:right="4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Deals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Won</w:t>
            </w:r>
          </w:p>
        </w:tc>
        <w:tc>
          <w:tcPr>
            <w:tcW w:w="1470" w:type="dxa"/>
            <w:shd w:val="clear" w:color="auto" w:fill="C12114"/>
          </w:tcPr>
          <w:p>
            <w:pPr>
              <w:pStyle w:val="TableParagraph"/>
              <w:spacing w:before="143"/>
              <w:ind w:left="37" w:right="37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Deals</w:t>
            </w:r>
            <w:r>
              <w:rPr>
                <w:b/>
                <w:color w:val="FFFFFF"/>
                <w:spacing w:val="5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Lost</w:t>
            </w:r>
          </w:p>
        </w:tc>
        <w:tc>
          <w:tcPr>
            <w:tcW w:w="1890" w:type="dxa"/>
            <w:shd w:val="clear" w:color="auto" w:fill="C12114"/>
          </w:tcPr>
          <w:p>
            <w:pPr>
              <w:pStyle w:val="TableParagraph"/>
              <w:spacing w:before="143"/>
              <w:ind w:left="7" w:right="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Revenue</w:t>
            </w:r>
          </w:p>
        </w:tc>
        <w:tc>
          <w:tcPr>
            <w:tcW w:w="1785" w:type="dxa"/>
            <w:shd w:val="clear" w:color="auto" w:fill="C12114"/>
          </w:tcPr>
          <w:p>
            <w:pPr>
              <w:pStyle w:val="TableParagraph"/>
              <w:spacing w:before="143"/>
              <w:ind w:left="30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Avg</w:t>
            </w:r>
            <w:r>
              <w:rPr>
                <w:b/>
                <w:color w:val="FFFFFF"/>
                <w:spacing w:val="1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Deal</w:t>
            </w:r>
            <w:r>
              <w:rPr>
                <w:b/>
                <w:color w:val="FFFFFF"/>
                <w:spacing w:val="1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Size</w:t>
            </w:r>
          </w:p>
        </w:tc>
        <w:tc>
          <w:tcPr>
            <w:tcW w:w="1785" w:type="dxa"/>
            <w:shd w:val="clear" w:color="auto" w:fill="C12114"/>
          </w:tcPr>
          <w:p>
            <w:pPr>
              <w:pStyle w:val="TableParagraph"/>
              <w:spacing w:before="143"/>
              <w:ind w:left="15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Conversion</w:t>
            </w:r>
            <w:r>
              <w:rPr>
                <w:b/>
                <w:color w:val="FFFFFF"/>
                <w:spacing w:val="4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Rate</w:t>
            </w:r>
          </w:p>
        </w:tc>
      </w:tr>
      <w:tr>
        <w:trPr>
          <w:trHeight w:val="465" w:hRule="atLeast"/>
        </w:trPr>
        <w:tc>
          <w:tcPr>
            <w:tcW w:w="1470" w:type="dxa"/>
          </w:tcPr>
          <w:p>
            <w:pPr>
              <w:pStyle w:val="TableParagraph"/>
              <w:spacing w:before="98"/>
              <w:ind w:left="37" w:right="44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Week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470" w:type="dxa"/>
            <w:shd w:val="clear" w:color="auto" w:fill="FCEAE7"/>
          </w:tcPr>
          <w:p>
            <w:pPr>
              <w:pStyle w:val="TableParagraph"/>
              <w:spacing w:before="98"/>
              <w:ind w:left="37" w:right="44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Week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2</w:t>
            </w: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470" w:type="dxa"/>
          </w:tcPr>
          <w:p>
            <w:pPr>
              <w:pStyle w:val="TableParagraph"/>
              <w:spacing w:before="98"/>
              <w:ind w:left="37" w:right="44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Week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470" w:type="dxa"/>
            <w:shd w:val="clear" w:color="auto" w:fill="FCEAE7"/>
          </w:tcPr>
          <w:p>
            <w:pPr>
              <w:pStyle w:val="TableParagraph"/>
              <w:spacing w:before="98"/>
              <w:ind w:left="37" w:right="44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Week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4</w:t>
            </w: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shd w:val="clear" w:color="auto" w:fill="FCEA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470" w:type="dxa"/>
            <w:tcBorders>
              <w:bottom w:val="single" w:sz="12" w:space="0" w:color="C12114"/>
            </w:tcBorders>
          </w:tcPr>
          <w:p>
            <w:pPr>
              <w:pStyle w:val="TableParagraph"/>
              <w:spacing w:before="98"/>
              <w:ind w:left="37" w:right="44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Week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5</w:t>
            </w:r>
          </w:p>
        </w:tc>
        <w:tc>
          <w:tcPr>
            <w:tcW w:w="178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tcBorders>
              <w:bottom w:val="single" w:sz="12" w:space="0" w:color="C1211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47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46"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sz w:val="21"/>
              </w:rPr>
              <w:t>TOTAL</w:t>
            </w:r>
          </w:p>
        </w:tc>
        <w:tc>
          <w:tcPr>
            <w:tcW w:w="17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5" w:right="2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2" w:right="1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68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2" w:right="11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37" w:right="4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47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left="37" w:right="46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890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spacing w:line="242" w:lineRule="exact" w:before="8"/>
              <w:ind w:right="9"/>
              <w:jc w:val="center"/>
              <w:rPr>
                <w:b/>
                <w:sz w:val="21"/>
              </w:rPr>
            </w:pPr>
            <w:r>
              <w:rPr>
                <w:b/>
                <w:color w:val="333333"/>
                <w:spacing w:val="-10"/>
                <w:sz w:val="21"/>
              </w:rPr>
              <w:t>0</w:t>
            </w:r>
          </w:p>
        </w:tc>
        <w:tc>
          <w:tcPr>
            <w:tcW w:w="17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  <w:tcBorders>
              <w:top w:val="single" w:sz="12" w:space="0" w:color="C12114"/>
              <w:bottom w:val="single" w:sz="12" w:space="0" w:color="C12114"/>
            </w:tcBorders>
            <w:shd w:val="clear" w:color="auto" w:fill="F4F4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9"/>
        <w:ind w:left="119"/>
      </w:pPr>
      <w:r>
        <w:rPr>
          <w:color w:val="808080"/>
        </w:rPr>
        <w:t>©</w:t>
      </w:r>
      <w:r>
        <w:rPr>
          <w:color w:val="808080"/>
          <w:spacing w:val="4"/>
        </w:rPr>
        <w:t> </w:t>
      </w:r>
      <w:r>
        <w:rPr>
          <w:color w:val="808080"/>
        </w:rPr>
        <w:t>HashMicro</w:t>
      </w:r>
      <w:r>
        <w:rPr>
          <w:color w:val="808080"/>
          <w:spacing w:val="4"/>
        </w:rPr>
        <w:t> </w:t>
      </w:r>
      <w:r>
        <w:rPr>
          <w:color w:val="808080"/>
        </w:rPr>
        <w:t>Australia</w:t>
      </w:r>
      <w:r>
        <w:rPr>
          <w:color w:val="808080"/>
          <w:spacing w:val="5"/>
        </w:rPr>
        <w:t> </w:t>
      </w:r>
      <w:r>
        <w:rPr>
          <w:color w:val="808080"/>
        </w:rPr>
        <w:t>-</w:t>
      </w:r>
      <w:r>
        <w:rPr>
          <w:color w:val="808080"/>
          <w:spacing w:val="4"/>
        </w:rPr>
        <w:t> </w:t>
      </w:r>
      <w:hyperlink r:id="rId6">
        <w:r>
          <w:rPr>
            <w:color w:val="808080"/>
            <w:spacing w:val="-2"/>
          </w:rPr>
          <w:t>www.hashmicro.com/au</w:t>
        </w:r>
      </w:hyperlink>
    </w:p>
    <w:sectPr>
      <w:type w:val="continuous"/>
      <w:pgSz w:w="15840" w:h="12240" w:orient="landscape"/>
      <w:pgMar w:top="10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ind w:left="119"/>
      <w:outlineLvl w:val="1"/>
    </w:pPr>
    <w:rPr>
      <w:rFonts w:ascii="Calibri" w:hAnsi="Calibri" w:eastAsia="Calibri" w:cs="Calibri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2026-04-15T07:33:05Z</dcterms:created>
  <dcterms:modified xsi:type="dcterms:W3CDTF">2026-04-15T07:33:05Z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Google Sheets</vt:lpwstr>
  </property>
  <property fmtid="{D5CDD505-2E9C-101B-9397-08002B2CF9AE}" pid="5" name="LastSaved">
    <vt:filetime>2026-04-15T00:00:00Z</vt:filetime>
  </property>
</Properties>
</file>